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CE" w:rsidRPr="007621CE" w:rsidRDefault="007621CE" w:rsidP="007621CE">
      <w:pPr>
        <w:rPr>
          <w:sz w:val="44"/>
          <w:szCs w:val="72"/>
        </w:rPr>
      </w:pPr>
      <w:bookmarkStart w:id="0" w:name="_GoBack"/>
      <w:bookmarkEnd w:id="0"/>
      <w:r w:rsidRPr="007621CE">
        <w:rPr>
          <w:sz w:val="44"/>
          <w:szCs w:val="72"/>
        </w:rPr>
        <w:t xml:space="preserve">Koldioxidutsläpp persontransporter </w:t>
      </w:r>
    </w:p>
    <w:p w:rsidR="007621CE" w:rsidRPr="007621CE" w:rsidRDefault="007621CE" w:rsidP="007621CE">
      <w:pPr>
        <w:rPr>
          <w:sz w:val="32"/>
          <w:szCs w:val="48"/>
        </w:rPr>
      </w:pPr>
      <w:r w:rsidRPr="007621CE">
        <w:rPr>
          <w:sz w:val="32"/>
          <w:szCs w:val="48"/>
        </w:rPr>
        <w:t xml:space="preserve">•Förutsättningar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•Oförändrade beläggningsfaktorer och färdmedelsfördelning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•Låginblandning av förnybart i all bensin och diesel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•Koldioxidutsläpp per liter drivmedel enligt Trafikverkets uppgifter inklusive produktion och distribution av drivmedlet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•Inkluderat all kollektivtrafik enligt Trafikanalys "Transportarbete 1950-2012"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•Fördelning på olika drivmedel i buss enligt BRs statistik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•Beräknat förbrukning för bussar enligt fordonsdatabasen FRIDA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•Utsläpp från biltrafiken enligt Naturvårdsverkets uppgifter </w:t>
      </w:r>
    </w:p>
    <w:p w:rsidR="007621CE" w:rsidRPr="007621CE" w:rsidRDefault="007621CE" w:rsidP="007621CE">
      <w:pPr>
        <w:rPr>
          <w:szCs w:val="36"/>
        </w:rPr>
      </w:pPr>
      <w:r w:rsidRPr="007621CE">
        <w:rPr>
          <w:szCs w:val="36"/>
        </w:rPr>
        <w:t xml:space="preserve">•Fördelning mellan dieselbilar, bensinbilar och bilar för biodrivmedel enligt Trafikanalys "Fordon i län och kommuner 2012" </w:t>
      </w:r>
    </w:p>
    <w:p w:rsidR="00172AD7" w:rsidRPr="007621CE" w:rsidRDefault="00172AD7" w:rsidP="007621CE">
      <w:pPr>
        <w:rPr>
          <w:sz w:val="14"/>
        </w:rPr>
      </w:pPr>
    </w:p>
    <w:p w:rsidR="007621CE" w:rsidRPr="007621CE" w:rsidRDefault="007621CE" w:rsidP="007621CE">
      <w:pPr>
        <w:rPr>
          <w:sz w:val="14"/>
        </w:rPr>
      </w:pPr>
    </w:p>
    <w:p w:rsidR="007621CE" w:rsidRPr="007621CE" w:rsidRDefault="007621CE" w:rsidP="007621CE">
      <w:pPr>
        <w:rPr>
          <w:sz w:val="14"/>
        </w:rPr>
      </w:pPr>
    </w:p>
    <w:p w:rsidR="007621CE" w:rsidRPr="007621CE" w:rsidRDefault="007621CE" w:rsidP="007621CE">
      <w:pPr>
        <w:rPr>
          <w:sz w:val="44"/>
          <w:szCs w:val="72"/>
        </w:rPr>
      </w:pPr>
      <w:r w:rsidRPr="007621CE">
        <w:rPr>
          <w:sz w:val="44"/>
          <w:szCs w:val="72"/>
        </w:rPr>
        <w:t xml:space="preserve">Koldioxidutsläpp persontransporter </w:t>
      </w:r>
    </w:p>
    <w:p w:rsidR="007621CE" w:rsidRPr="007621CE" w:rsidRDefault="007621CE" w:rsidP="007621CE">
      <w:pPr>
        <w:rPr>
          <w:sz w:val="32"/>
          <w:szCs w:val="48"/>
        </w:rPr>
      </w:pPr>
      <w:r w:rsidRPr="007621CE">
        <w:rPr>
          <w:sz w:val="32"/>
          <w:szCs w:val="48"/>
        </w:rPr>
        <w:t xml:space="preserve">•Resultat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•Fördubbling av antalet personkilometer med kollektivtrafik ger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•Minskning av persontransporternas koldioxidutsläpp 3 miljoner ton per år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•Motsvarar ca 24 % av persontransportsektorns utsläpp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•Till ett samhällsekonomiskt värde av cirka 4 miljarder kr per år.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lastRenderedPageBreak/>
        <w:t xml:space="preserve">•Förutsätter att alla nya koll-resenärer tidigare åkt bil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•Om medelbeläggningen i kollektivtrafikfordonen ökar så blir effekten större </w:t>
      </w:r>
    </w:p>
    <w:p w:rsidR="007621CE" w:rsidRPr="007621CE" w:rsidRDefault="007621CE" w:rsidP="007621CE">
      <w:pPr>
        <w:rPr>
          <w:sz w:val="24"/>
          <w:szCs w:val="40"/>
        </w:rPr>
      </w:pPr>
      <w:r w:rsidRPr="007621CE">
        <w:rPr>
          <w:sz w:val="24"/>
          <w:szCs w:val="40"/>
        </w:rPr>
        <w:t xml:space="preserve">•Anropsstyrd trafik och annan taxitrafik har inte ingått i beräkningen </w:t>
      </w:r>
    </w:p>
    <w:p w:rsidR="007621CE" w:rsidRPr="007621CE" w:rsidRDefault="007621CE" w:rsidP="007621CE">
      <w:pPr>
        <w:rPr>
          <w:sz w:val="14"/>
        </w:rPr>
      </w:pPr>
    </w:p>
    <w:sectPr w:rsidR="007621CE" w:rsidRPr="007621CE" w:rsidSect="007D7401">
      <w:pgSz w:w="144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E"/>
    <w:rsid w:val="00172AD7"/>
    <w:rsid w:val="007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1D98-B8E1-4519-872C-45616B1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62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Weissglas</dc:creator>
  <cp:keywords/>
  <dc:description/>
  <cp:lastModifiedBy>Agneta Weissglas</cp:lastModifiedBy>
  <cp:revision>1</cp:revision>
  <dcterms:created xsi:type="dcterms:W3CDTF">2015-04-14T09:26:00Z</dcterms:created>
  <dcterms:modified xsi:type="dcterms:W3CDTF">2015-04-14T09:29:00Z</dcterms:modified>
</cp:coreProperties>
</file>